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5F" w:rsidRPr="00B35E5F" w:rsidRDefault="00B35E5F" w:rsidP="00B35E5F">
      <w:pPr>
        <w:pStyle w:val="NormalWeb"/>
        <w:shd w:val="clear" w:color="auto" w:fill="FFFFFF"/>
        <w:spacing w:before="0" w:beforeAutospacing="0" w:after="0" w:afterAutospacing="0"/>
        <w:jc w:val="center"/>
        <w:textAlignment w:val="baseline"/>
        <w:rPr>
          <w:color w:val="000000"/>
          <w:sz w:val="26"/>
          <w:szCs w:val="26"/>
        </w:rPr>
      </w:pPr>
      <w:r w:rsidRPr="00B35E5F">
        <w:rPr>
          <w:rStyle w:val="Strong"/>
          <w:color w:val="000000"/>
          <w:sz w:val="26"/>
          <w:szCs w:val="26"/>
        </w:rPr>
        <w:t>CỘNG HÒA XÃ HỘI CHỦ NGHĨA VIỆT NAM</w:t>
      </w:r>
    </w:p>
    <w:p w:rsidR="00B35E5F" w:rsidRPr="00B35E5F" w:rsidRDefault="00B35E5F" w:rsidP="00B35E5F">
      <w:pPr>
        <w:pStyle w:val="NormalWeb"/>
        <w:shd w:val="clear" w:color="auto" w:fill="FFFFFF"/>
        <w:spacing w:before="240" w:beforeAutospacing="0" w:after="240" w:afterAutospacing="0"/>
        <w:jc w:val="center"/>
        <w:textAlignment w:val="baseline"/>
        <w:rPr>
          <w:color w:val="000000"/>
          <w:sz w:val="26"/>
          <w:szCs w:val="26"/>
        </w:rPr>
      </w:pPr>
      <w:r w:rsidRPr="00B35E5F">
        <w:rPr>
          <w:color w:val="000000"/>
          <w:sz w:val="26"/>
          <w:szCs w:val="26"/>
        </w:rPr>
        <w:t>Độc lập – Tự do – Hạnh phúc</w:t>
      </w:r>
    </w:p>
    <w:p w:rsidR="00B35E5F" w:rsidRPr="00B35E5F" w:rsidRDefault="00B35E5F" w:rsidP="00B35E5F">
      <w:pPr>
        <w:pStyle w:val="NormalWeb"/>
        <w:shd w:val="clear" w:color="auto" w:fill="FFFFFF"/>
        <w:spacing w:before="240" w:beforeAutospacing="0" w:after="240" w:afterAutospacing="0"/>
        <w:jc w:val="center"/>
        <w:textAlignment w:val="baseline"/>
        <w:rPr>
          <w:color w:val="000000"/>
          <w:sz w:val="26"/>
          <w:szCs w:val="26"/>
        </w:rPr>
      </w:pPr>
      <w:r w:rsidRPr="00B35E5F">
        <w:rPr>
          <w:color w:val="000000"/>
          <w:sz w:val="26"/>
          <w:szCs w:val="26"/>
        </w:rPr>
        <w:t>-----------------------</w:t>
      </w:r>
    </w:p>
    <w:p w:rsidR="00B35E5F" w:rsidRPr="00B35E5F" w:rsidRDefault="00B35E5F" w:rsidP="00B35E5F">
      <w:pPr>
        <w:pStyle w:val="NormalWeb"/>
        <w:shd w:val="clear" w:color="auto" w:fill="FFFFFF"/>
        <w:spacing w:before="0" w:beforeAutospacing="0" w:after="0" w:afterAutospacing="0"/>
        <w:jc w:val="center"/>
        <w:textAlignment w:val="baseline"/>
        <w:rPr>
          <w:color w:val="000000"/>
          <w:sz w:val="26"/>
          <w:szCs w:val="26"/>
        </w:rPr>
      </w:pPr>
      <w:r w:rsidRPr="00B35E5F">
        <w:rPr>
          <w:rStyle w:val="Strong"/>
          <w:color w:val="000000"/>
          <w:sz w:val="26"/>
          <w:szCs w:val="26"/>
        </w:rPr>
        <w:t>DỰ THẢO QUY CHẾ TỔ CHỨC VÀ HOẠT ĐỘNG</w:t>
      </w:r>
    </w:p>
    <w:p w:rsidR="00B35E5F" w:rsidRDefault="00B35E5F" w:rsidP="00B35E5F">
      <w:pPr>
        <w:pStyle w:val="NormalWeb"/>
        <w:shd w:val="clear" w:color="auto" w:fill="FFFFFF"/>
        <w:spacing w:before="0" w:beforeAutospacing="0" w:after="0" w:afterAutospacing="0"/>
        <w:jc w:val="center"/>
        <w:textAlignment w:val="baseline"/>
        <w:rPr>
          <w:color w:val="000000"/>
          <w:sz w:val="26"/>
          <w:szCs w:val="26"/>
        </w:rPr>
      </w:pPr>
      <w:r w:rsidRPr="00B35E5F">
        <w:rPr>
          <w:rStyle w:val="Strong"/>
          <w:color w:val="000000"/>
          <w:sz w:val="26"/>
          <w:szCs w:val="26"/>
        </w:rPr>
        <w:t>TRUNG TÂM NGOẠI NGỮ TOMOKID</w:t>
      </w:r>
    </w:p>
    <w:p w:rsidR="00B35E5F" w:rsidRPr="00B35E5F" w:rsidRDefault="00B35E5F" w:rsidP="00B35E5F">
      <w:pPr>
        <w:pStyle w:val="NormalWeb"/>
        <w:shd w:val="clear" w:color="auto" w:fill="FFFFFF"/>
        <w:spacing w:before="0" w:beforeAutospacing="0" w:after="0" w:afterAutospacing="0"/>
        <w:jc w:val="center"/>
        <w:textAlignment w:val="baseline"/>
        <w:rPr>
          <w:color w:val="000000"/>
          <w:sz w:val="26"/>
          <w:szCs w:val="26"/>
        </w:rPr>
      </w:pPr>
      <w:r w:rsidRPr="00B35E5F">
        <w:rPr>
          <w:color w:val="000000"/>
          <w:sz w:val="26"/>
          <w:szCs w:val="26"/>
        </w:rPr>
        <w:t> </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Emphasis"/>
          <w:b/>
          <w:bCs/>
          <w:color w:val="000000"/>
          <w:sz w:val="26"/>
          <w:szCs w:val="26"/>
        </w:rPr>
        <w:t>- </w:t>
      </w:r>
      <w:r w:rsidRPr="00B35E5F">
        <w:rPr>
          <w:rStyle w:val="Emphasis"/>
          <w:color w:val="000000"/>
          <w:sz w:val="26"/>
          <w:szCs w:val="26"/>
        </w:rPr>
        <w:t>Căn cứ Thông tư số 03/2011/TT-BGDĐT ngày 28 tháng 01 năm 2011 của Bộ Giáo dục và Đào tạo về việc Ban hành quy chế tổ chức và hoạt động của Trung tâm ngoại ngữ, tin học.</w:t>
      </w:r>
    </w:p>
    <w:p w:rsidR="00B35E5F" w:rsidRPr="00B35E5F" w:rsidRDefault="00B35E5F" w:rsidP="00B35E5F">
      <w:pPr>
        <w:pStyle w:val="NormalWeb"/>
        <w:shd w:val="clear" w:color="auto" w:fill="FFFFFF"/>
        <w:spacing w:before="0" w:beforeAutospacing="0" w:after="0" w:afterAutospacing="0"/>
        <w:jc w:val="center"/>
        <w:textAlignment w:val="baseline"/>
        <w:rPr>
          <w:color w:val="000000"/>
          <w:sz w:val="26"/>
          <w:szCs w:val="26"/>
        </w:rPr>
      </w:pPr>
      <w:r w:rsidRPr="00B35E5F">
        <w:rPr>
          <w:rStyle w:val="Strong"/>
          <w:color w:val="000000"/>
          <w:sz w:val="26"/>
          <w:szCs w:val="26"/>
        </w:rPr>
        <w:t>Chương I</w:t>
      </w:r>
    </w:p>
    <w:p w:rsidR="00B35E5F" w:rsidRPr="00B35E5F" w:rsidRDefault="00B35E5F" w:rsidP="00B35E5F">
      <w:pPr>
        <w:pStyle w:val="NormalWeb"/>
        <w:shd w:val="clear" w:color="auto" w:fill="FFFFFF"/>
        <w:spacing w:before="0" w:beforeAutospacing="0" w:after="0" w:afterAutospacing="0"/>
        <w:jc w:val="center"/>
        <w:textAlignment w:val="baseline"/>
        <w:rPr>
          <w:color w:val="000000"/>
          <w:sz w:val="26"/>
          <w:szCs w:val="26"/>
        </w:rPr>
      </w:pPr>
      <w:r w:rsidRPr="00B35E5F">
        <w:rPr>
          <w:rStyle w:val="Strong"/>
          <w:color w:val="000000"/>
          <w:sz w:val="26"/>
          <w:szCs w:val="26"/>
        </w:rPr>
        <w:t>QUY ĐỊNH CHUNG</w:t>
      </w:r>
    </w:p>
    <w:p w:rsidR="00B35E5F" w:rsidRPr="00B35E5F" w:rsidRDefault="00B35E5F" w:rsidP="00B35E5F">
      <w:pPr>
        <w:pStyle w:val="NormalWeb"/>
        <w:shd w:val="clear" w:color="auto" w:fill="FFFFFF"/>
        <w:spacing w:before="240" w:beforeAutospacing="0" w:after="240" w:afterAutospacing="0"/>
        <w:jc w:val="center"/>
        <w:textAlignment w:val="baseline"/>
        <w:rPr>
          <w:color w:val="000000"/>
          <w:sz w:val="26"/>
          <w:szCs w:val="26"/>
        </w:rPr>
      </w:pPr>
      <w:r w:rsidRPr="00B35E5F">
        <w:rPr>
          <w:color w:val="000000"/>
          <w:sz w:val="26"/>
          <w:szCs w:val="26"/>
        </w:rPr>
        <w:t> </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1. Phạm vi điều chỉnh và đối tượng áp dụng</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1. Quy chế này quy định về tổ chức và hoạt động của Trung tâm ngoại ngữ Tomokid bao gồm: hoạt động; tổ chức và nhân sự; giáo viên; học viên; tài chính và tài sản của trung tâm ngoại ngữ; thanh tra, kiểm tra, khen thưởng và xử lý vi phạm.</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2. Quy chế này được áp dụng đối với Trung tâm ngoại ngữ Tomokid và tổ chức, cá nhân tham gia hoạt động ở trung tâm;</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2. Vị trí của trung tâm ngoại ngữ trong hệ thống giáo dục quốc dân</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Trung tâm ngoại ngữ là cơ sở giáo dục thường xuyên của hệ thống giáo dục quốc dân. Trung tâm ngoại ngữ có tư cách pháp nhân, có con dấu, có tài khoản riêng.</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3. Nhiệm vụ và quyền hạn của trung tâm ngoại ngữ Tomokid</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1. Tổ chức thực hiện hoạt động đào tạo Chương trình tiếng Anh trẻ em.</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2. Xây dựng và tổ chức thực hiện quy hoạch, kế hoạch phát triển trung tâm phù hợp với quy hoạch, kế hoạch phát triển giáo dục của cả nước, địa phương và của cơ sở.</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3. Xây dựng cơ sở vật chất, kỹ thuật đáp ứng các yêu cầu hoạt động của trung tâm.</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4. Điều tra nhu cầu học tập ngoại ngữ trên địa bàn, nghiên cứu, tổng kết, rút kinh nghiệm về tổ chức và hoạt động của trung tâm nhằm nâng cao chất lượng đào tạo, bồi dưỡng ngoại ngữ;</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7. Quản lý tài chính, tài sản của trung tâm theo quy định của pháp luật.</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lastRenderedPageBreak/>
        <w:t>8. Thực hiện các nhiệm vụ khác theo quy định của pháp luật.</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4. Loại hình trung tâm</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Trung tâm ngoại ngữ Tomokid do Công ty cổ phần Đào tạo GS Tomokid đầu tư xây dựng cơ sở vật chất và bảo đảm kinh phí hoạt động bằng vốn ngoài ngân sách nhà nước.</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5. Tên của trung tâm ngoại ngữ</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1. Việc đặt tên của trung tâm theo quy định như sau:</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Trung tâm ngoại ngữ + tên riêng;</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2. Tên của trung tâm được ghi trên quyết định thành lập trung tâm, con dấu, biển hiệu và các giấy tờ giao dịch của trung tâm.</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6. Quản lý trung tâm ngoại ngữ</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Trung tâm ngoại ngữ Tomokid thuộc sự quản lý của Sở Giáo dục và Đào tạo Hà Nội theo quy định của pháp luật;</w:t>
      </w:r>
    </w:p>
    <w:p w:rsidR="00B35E5F" w:rsidRPr="00B35E5F" w:rsidRDefault="00B35E5F" w:rsidP="00B35E5F">
      <w:pPr>
        <w:pStyle w:val="NormalWeb"/>
        <w:shd w:val="clear" w:color="auto" w:fill="FFFFFF"/>
        <w:spacing w:before="0" w:beforeAutospacing="0" w:after="0" w:afterAutospacing="0"/>
        <w:jc w:val="center"/>
        <w:textAlignment w:val="baseline"/>
        <w:rPr>
          <w:color w:val="000000"/>
          <w:sz w:val="26"/>
          <w:szCs w:val="26"/>
        </w:rPr>
      </w:pPr>
      <w:r w:rsidRPr="00B35E5F">
        <w:rPr>
          <w:rStyle w:val="Strong"/>
          <w:color w:val="000000"/>
          <w:sz w:val="26"/>
          <w:szCs w:val="26"/>
        </w:rPr>
        <w:t>Chương II</w:t>
      </w:r>
    </w:p>
    <w:p w:rsidR="00B35E5F" w:rsidRDefault="00B35E5F" w:rsidP="00B35E5F">
      <w:pPr>
        <w:pStyle w:val="NormalWeb"/>
        <w:shd w:val="clear" w:color="auto" w:fill="FFFFFF"/>
        <w:spacing w:before="0" w:beforeAutospacing="0" w:after="0" w:afterAutospacing="0"/>
        <w:jc w:val="center"/>
        <w:textAlignment w:val="baseline"/>
        <w:rPr>
          <w:color w:val="000000"/>
          <w:sz w:val="26"/>
          <w:szCs w:val="26"/>
        </w:rPr>
      </w:pPr>
      <w:r w:rsidRPr="00B35E5F">
        <w:rPr>
          <w:rStyle w:val="Strong"/>
          <w:color w:val="000000"/>
          <w:sz w:val="26"/>
          <w:szCs w:val="26"/>
        </w:rPr>
        <w:t>HOẠT ĐỘNG CỦA TRUNG TÂM NGOẠI NGỮ , TIN HỌC</w:t>
      </w:r>
    </w:p>
    <w:p w:rsidR="00B35E5F" w:rsidRPr="00B35E5F" w:rsidRDefault="00B35E5F" w:rsidP="00B35E5F">
      <w:pPr>
        <w:pStyle w:val="NormalWeb"/>
        <w:shd w:val="clear" w:color="auto" w:fill="FFFFFF"/>
        <w:spacing w:before="0" w:beforeAutospacing="0" w:after="0" w:afterAutospacing="0"/>
        <w:jc w:val="center"/>
        <w:textAlignment w:val="baseline"/>
        <w:rPr>
          <w:color w:val="000000"/>
          <w:sz w:val="26"/>
          <w:szCs w:val="26"/>
        </w:rPr>
      </w:pPr>
      <w:r w:rsidRPr="00B35E5F">
        <w:rPr>
          <w:color w:val="000000"/>
          <w:sz w:val="26"/>
          <w:szCs w:val="26"/>
        </w:rPr>
        <w:t> </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7. Điều kiện để đào tạo, bồi dưỡng</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1. Trình độ chuyên môn và trình độ sư phạm của giáo viên, kỹ thuật viên, giảng dạy lý thuyết, thực hành theo quy định tại Quy chế này. Số lượng giáo viên phải đảm bảo tỉ lệ trung bình không quá 25 học viên/ 1 giáo viên/ca học.</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2. Có đủ phòng học, phòng chức năng phù hợp, đáp ứng yêu cầu của chương trình đào tạo; phòng làm việc cho bộ máy hành chính theo cơ cấu tổ chức của trung tâm để phục vụ công tác quản lý, đào tạo. Phòng học đủ ánh sáng, có diện tích tối thiểu đảm bảo 1,5m2/học viên/ca học.</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3. Có giáo trình, tài liệu, thiết bị phục vụ giảng dạy, học tập theo yêu cầu của chương trình đào tạo; có thư viện, cơ sở thí nghiệm, thực tập, thực hành và các cơ sở vật chất khác đáp ứng yêu cầu của chương trình đào tạo và hoạt động khoa học công nghệ.</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4. Có khu vực cho cán bộ, giáo viên và học viên nghỉ giải lao, nghỉ giữa giờ.</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5. Được cơ quan có thẩm quyền cho phép.</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8. Chương trình giảng dạy, hình thức học tập</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lastRenderedPageBreak/>
        <w:t>1. Trung tâm xây dựng chương trình giảng dạy cho phù hợp với điều kiện của người học và sự phát triển của từng địa phương, không trái với các quy định của Bộ Giáo dục và Đào tạo.</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2. Các chương trình bồi dưỡng, nâng cao trình độ chuyên môn, nghiệp vụ và các chương trình nâng cao kiến thức khác phải thường xuyên cập nhật, giới thiệu công nghệ mới cho các đối tượng có nhu cầu học tập, nâng cao kiến thức theo quy định hiện hành.</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3. Hình thức học tập: tự học có hướng dẫn hoặc kết hợp với các hình thức khác.</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4. Căn cứ vào các chương trình giảng dạy và hình thức học tập, trung tâm xây dựng kế hoạch học tập toàn khoá, thời gian biểu cụ thể cho từng lớp học và công bố công khai cho học viên trước khi khai giảng.</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9. Giáo trình và tài liệu giảng dạy, học tập</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Trung tâm sử dụng giáo trình, tài liệu giảng dạy, học tập theo quy định của Bộ Giáo dục và Đào tạo, hoặc các tài liệu khác không trái với các quy định của pháp luật.</w:t>
      </w:r>
    </w:p>
    <w:p w:rsidR="00B35E5F" w:rsidRPr="00B35E5F" w:rsidRDefault="00B35E5F" w:rsidP="00B35E5F">
      <w:pPr>
        <w:pStyle w:val="NormalWeb"/>
        <w:shd w:val="clear" w:color="auto" w:fill="FFFFFF"/>
        <w:spacing w:before="0" w:beforeAutospacing="0" w:after="0" w:afterAutospacing="0"/>
        <w:textAlignment w:val="baseline"/>
        <w:rPr>
          <w:color w:val="000000"/>
          <w:sz w:val="26"/>
          <w:szCs w:val="26"/>
        </w:rPr>
      </w:pPr>
      <w:r w:rsidRPr="00B35E5F">
        <w:rPr>
          <w:rStyle w:val="Strong"/>
          <w:color w:val="000000"/>
          <w:sz w:val="26"/>
          <w:szCs w:val="26"/>
        </w:rPr>
        <w:t>Điều 10. Tuyển sinh và tổ chức lớp học</w:t>
      </w:r>
    </w:p>
    <w:p w:rsidR="00B35E5F" w:rsidRPr="00B35E5F" w:rsidRDefault="00B35E5F" w:rsidP="00B35E5F">
      <w:pPr>
        <w:pStyle w:val="NormalWeb"/>
        <w:shd w:val="clear" w:color="auto" w:fill="FFFFFF"/>
        <w:spacing w:before="240" w:beforeAutospacing="0" w:after="240" w:afterAutospacing="0"/>
        <w:textAlignment w:val="baseline"/>
        <w:rPr>
          <w:color w:val="000000"/>
          <w:sz w:val="26"/>
          <w:szCs w:val="26"/>
        </w:rPr>
      </w:pPr>
      <w:r w:rsidRPr="00B35E5F">
        <w:rPr>
          <w:color w:val="000000"/>
          <w:sz w:val="26"/>
          <w:szCs w:val="26"/>
        </w:rPr>
        <w:t>1. Tất cả công dân Việt Nam và công dân nước ngoài sinh sống hợp pháp tại Việt Nam có đủ điều kiện và nguyện vọng tham gia một trong những khoá học của trung tâm đều được nhận vào học.</w:t>
      </w:r>
    </w:p>
    <w:p w:rsidR="009C5EF0" w:rsidRPr="00B35E5F" w:rsidRDefault="009C5EF0">
      <w:pPr>
        <w:rPr>
          <w:rFonts w:ascii="Times New Roman" w:hAnsi="Times New Roman" w:cs="Times New Roman"/>
          <w:sz w:val="26"/>
          <w:szCs w:val="26"/>
        </w:rPr>
      </w:pPr>
      <w:bookmarkStart w:id="0" w:name="_GoBack"/>
      <w:bookmarkEnd w:id="0"/>
    </w:p>
    <w:sectPr w:rsidR="009C5EF0" w:rsidRPr="00B35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5F"/>
    <w:rsid w:val="009C5EF0"/>
    <w:rsid w:val="00B3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99A29-A22A-487A-BB1B-875A3AF6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5E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5E5F"/>
    <w:rPr>
      <w:b/>
      <w:bCs/>
    </w:rPr>
  </w:style>
  <w:style w:type="character" w:styleId="Emphasis">
    <w:name w:val="Emphasis"/>
    <w:basedOn w:val="DefaultParagraphFont"/>
    <w:uiPriority w:val="20"/>
    <w:qFormat/>
    <w:rsid w:val="00B35E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Than-1</cp:lastModifiedBy>
  <cp:revision>1</cp:revision>
  <dcterms:created xsi:type="dcterms:W3CDTF">2019-01-18T10:55:00Z</dcterms:created>
  <dcterms:modified xsi:type="dcterms:W3CDTF">2019-01-18T10:57:00Z</dcterms:modified>
</cp:coreProperties>
</file>